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29" w:type="dxa"/>
        <w:jc w:val="left"/>
        <w:tblInd w:w="-3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7"/>
        <w:gridCol w:w="5211"/>
      </w:tblGrid>
      <w:tr>
        <w:trPr>
          <w:trHeight w:val="561" w:hRule="atLeast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CALÓ DE SANT ANTONI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MBA07031E1  CENTRO PLAYA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20" w:type="dxa"/>
        <w:jc w:val="left"/>
        <w:tblInd w:w="-3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03"/>
        <w:gridCol w:w="1959"/>
        <w:gridCol w:w="2128"/>
        <w:gridCol w:w="2829"/>
      </w:tblGrid>
      <w:tr>
        <w:trPr/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QUALITÄT18</w:t>
            </w:r>
          </w:p>
        </w:tc>
      </w:tr>
      <w:tr>
        <w:trPr>
          <w:trHeight w:val="1539" w:hRule="atLeast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44"/>
                <w:szCs w:val="44"/>
              </w:rPr>
              <w:t>26</w:t>
            </w:r>
            <w:r>
              <w:rPr>
                <w:sz w:val="44"/>
                <w:szCs w:val="44"/>
              </w:rPr>
              <w:t>-06-2023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>2</w:t>
            </w: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 xml:space="preserve">  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>2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>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344" w:type="dxa"/>
        <w:jc w:val="left"/>
        <w:tblInd w:w="-3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9"/>
        <w:gridCol w:w="1441"/>
        <w:gridCol w:w="1440"/>
        <w:gridCol w:w="3584"/>
      </w:tblGrid>
      <w:tr>
        <w:trPr/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DATEN</w:t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30"/>
                <w:szCs w:val="30"/>
              </w:rPr>
              <w:t>05</w:t>
            </w:r>
            <w:r>
              <w:rPr>
                <w:sz w:val="30"/>
                <w:szCs w:val="30"/>
              </w:rPr>
              <w:t>-0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-2023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497_2404587625"/>
            <w:r>
              <w:rPr/>
              <w:drawing>
                <wp:inline distT="0" distB="0" distL="0" distR="0">
                  <wp:extent cx="621665" cy="621665"/>
                  <wp:effectExtent l="0" t="0" r="0" b="0"/>
                  <wp:docPr id="2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30"/>
                <w:szCs w:val="30"/>
              </w:rPr>
              <w:t>16-05-2023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1" w:name="__DdeLink__497_24045876251"/>
            <w:r>
              <w:rPr/>
              <w:drawing>
                <wp:inline distT="0" distB="0" distL="0" distR="0">
                  <wp:extent cx="621665" cy="621665"/>
                  <wp:effectExtent l="0" t="0" r="0" b="0"/>
                  <wp:docPr id="3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30"/>
                <w:szCs w:val="30"/>
              </w:rPr>
              <w:t>25-04-2023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1665" cy="621665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5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429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877" t="-2877" r="-2877" b="-2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7" name="Imagen 4" descr="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36" t="-3109" r="-3036" b="-3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2" ma:contentTypeDescription="Crear nuevo documento." ma:contentTypeScope="" ma:versionID="2b8654c0eb3ff03ec646c0cc13ed4d04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c41da76b236b949f0c3ba15e948d760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EAF4B-D48F-4E93-B61D-634CD4D626BD}"/>
</file>

<file path=customXml/itemProps2.xml><?xml version="1.0" encoding="utf-8"?>
<ds:datastoreItem xmlns:ds="http://schemas.openxmlformats.org/officeDocument/2006/customXml" ds:itemID="{BF4B5FBE-EA8C-482C-BB4E-5863A430D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F6596-DE07-4610-88BF-40153452F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1</Pages>
  <Words>207</Words>
  <Characters>1155</Characters>
  <CharactersWithSpaces>1815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2023-05-19T07:31:00Z</dcterms:created>
  <dc:creator>user</dc:creator>
  <dc:description/>
  <dc:language>ca-ES</dc:language>
  <cp:lastModifiedBy/>
  <cp:lastPrinted>2023-06-08T08:40:07Z</cp:lastPrinted>
  <dcterms:modified xsi:type="dcterms:W3CDTF">2023-06-30T13:21:16Z</dcterms:modified>
  <cp:revision>4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3103400.00000000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