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51F" w:rsidRPr="007D06BA" w:rsidRDefault="0042551F" w:rsidP="007D06BA">
      <w:pPr>
        <w:suppressAutoHyphens/>
        <w:autoSpaceDN w:val="0"/>
        <w:adjustRightInd w:val="0"/>
        <w:spacing w:after="200"/>
        <w:rPr>
          <w:rFonts w:ascii="Arial" w:hAnsi="Arial" w:cs="Symbol"/>
          <w:b/>
          <w:bCs/>
          <w:kern w:val="1"/>
          <w:sz w:val="22"/>
          <w:szCs w:val="40"/>
          <w:lang w:val="es-ES" w:eastAsia="es-ES" w:bidi="ar-SA"/>
        </w:rPr>
      </w:pPr>
    </w:p>
    <w:tbl>
      <w:tblPr>
        <w:tblW w:w="0" w:type="auto"/>
        <w:tblInd w:w="187" w:type="dxa"/>
        <w:tblLayout w:type="fixed"/>
        <w:tblCellMar>
          <w:left w:w="0" w:type="dxa"/>
          <w:right w:w="0" w:type="dxa"/>
        </w:tblCellMar>
        <w:tblLook w:val="0000"/>
      </w:tblPr>
      <w:tblGrid>
        <w:gridCol w:w="1931"/>
        <w:gridCol w:w="6827"/>
      </w:tblGrid>
      <w:tr w:rsidR="0042551F" w:rsidRPr="007D06BA">
        <w:trPr>
          <w:trHeight w:val="57"/>
        </w:trPr>
        <w:tc>
          <w:tcPr>
            <w:tcW w:w="1931" w:type="dxa"/>
            <w:tcBorders>
              <w:top w:val="single" w:sz="4" w:space="0" w:color="C0C0C0"/>
              <w:left w:val="single" w:sz="4" w:space="0" w:color="C0C0C0"/>
              <w:bottom w:val="single" w:sz="4" w:space="0" w:color="C0C0C0"/>
              <w:right w:val="nil"/>
            </w:tcBorders>
            <w:tcMar>
              <w:left w:w="70" w:type="dxa"/>
              <w:right w:w="70" w:type="dxa"/>
            </w:tcMar>
          </w:tcPr>
          <w:p w:rsidR="0042551F" w:rsidRPr="007D06BA" w:rsidRDefault="0042551F" w:rsidP="007D06BA">
            <w:pPr>
              <w:suppressAutoHyphens/>
              <w:autoSpaceDN w:val="0"/>
              <w:adjustRightInd w:val="0"/>
              <w:jc w:val="both"/>
              <w:rPr>
                <w:rFonts w:ascii="Tele-GroteskNor" w:eastAsia="Times New Roman" w:cs="Times New Roman"/>
                <w:kern w:val="1"/>
                <w:lang w:val="es-ES"/>
              </w:rPr>
            </w:pPr>
            <w:r w:rsidRPr="007D06BA">
              <w:rPr>
                <w:rFonts w:ascii="Arial" w:hAnsi="Arial" w:cs="Times New Roman"/>
                <w:kern w:val="1"/>
                <w:sz w:val="18"/>
                <w:lang w:val="ca-ES"/>
              </w:rPr>
              <w:t>Referència:</w:t>
            </w:r>
          </w:p>
        </w:tc>
        <w:tc>
          <w:tcPr>
            <w:tcW w:w="6827" w:type="dxa"/>
            <w:tcBorders>
              <w:top w:val="single" w:sz="4" w:space="0" w:color="C0C0C0"/>
              <w:left w:val="single" w:sz="4" w:space="0" w:color="C0C0C0"/>
              <w:bottom w:val="single" w:sz="4" w:space="0" w:color="C0C0C0"/>
              <w:right w:val="single" w:sz="4" w:space="0" w:color="C0C0C0"/>
            </w:tcBorders>
            <w:tcMar>
              <w:left w:w="70" w:type="dxa"/>
              <w:right w:w="70" w:type="dxa"/>
            </w:tcMar>
          </w:tcPr>
          <w:p w:rsidR="0042551F" w:rsidRPr="007D06BA" w:rsidRDefault="0042551F" w:rsidP="007D06BA">
            <w:pPr>
              <w:suppressAutoHyphens/>
              <w:autoSpaceDN w:val="0"/>
              <w:adjustRightInd w:val="0"/>
              <w:rPr>
                <w:rFonts w:ascii="Tele-GroteskNor" w:eastAsia="Times New Roman" w:cs="Times New Roman"/>
                <w:kern w:val="1"/>
                <w:lang w:val="es-ES" w:eastAsia="es-ES" w:bidi="ar-SA"/>
              </w:rPr>
            </w:pPr>
            <w:r w:rsidRPr="007D06BA">
              <w:rPr>
                <w:rFonts w:ascii="Arial" w:hAnsi="Arial" w:cs="Times New Roman"/>
                <w:b/>
                <w:kern w:val="1"/>
                <w:sz w:val="18"/>
                <w:lang w:val="ca-ES" w:eastAsia="es-ES" w:bidi="ar-SA"/>
              </w:rPr>
              <w:t>2021/359G</w:t>
            </w:r>
          </w:p>
        </w:tc>
      </w:tr>
      <w:tr w:rsidR="0042551F" w:rsidRPr="007D06BA">
        <w:trPr>
          <w:trHeight w:val="57"/>
        </w:trPr>
        <w:tc>
          <w:tcPr>
            <w:tcW w:w="1931" w:type="dxa"/>
            <w:tcBorders>
              <w:top w:val="single" w:sz="4" w:space="0" w:color="C0C0C0"/>
              <w:left w:val="single" w:sz="4" w:space="0" w:color="C0C0C0"/>
              <w:bottom w:val="single" w:sz="4" w:space="0" w:color="C0C0C0"/>
              <w:right w:val="nil"/>
            </w:tcBorders>
            <w:tcMar>
              <w:left w:w="70" w:type="dxa"/>
              <w:right w:w="70" w:type="dxa"/>
            </w:tcMar>
          </w:tcPr>
          <w:p w:rsidR="0042551F" w:rsidRPr="007D06BA" w:rsidRDefault="0042551F" w:rsidP="007D06BA">
            <w:pPr>
              <w:suppressAutoHyphens/>
              <w:autoSpaceDN w:val="0"/>
              <w:adjustRightInd w:val="0"/>
              <w:jc w:val="both"/>
              <w:rPr>
                <w:rFonts w:ascii="Tele-GroteskNor" w:eastAsia="Times New Roman" w:cs="Times New Roman"/>
                <w:kern w:val="1"/>
                <w:lang w:val="es-ES"/>
              </w:rPr>
            </w:pPr>
            <w:r w:rsidRPr="007D06BA">
              <w:rPr>
                <w:rFonts w:ascii="Arial" w:hAnsi="Arial" w:cs="Times New Roman"/>
                <w:kern w:val="1"/>
                <w:sz w:val="18"/>
                <w:lang w:val="ca-ES"/>
              </w:rPr>
              <w:t>Sol·licitud:</w:t>
            </w:r>
          </w:p>
        </w:tc>
        <w:tc>
          <w:tcPr>
            <w:tcW w:w="6827" w:type="dxa"/>
            <w:tcBorders>
              <w:top w:val="single" w:sz="4" w:space="0" w:color="C0C0C0"/>
              <w:left w:val="single" w:sz="4" w:space="0" w:color="C0C0C0"/>
              <w:bottom w:val="single" w:sz="4" w:space="0" w:color="C0C0C0"/>
              <w:right w:val="single" w:sz="4" w:space="0" w:color="C0C0C0"/>
            </w:tcBorders>
            <w:tcMar>
              <w:left w:w="70" w:type="dxa"/>
              <w:right w:w="70" w:type="dxa"/>
            </w:tcMar>
            <w:vAlign w:val="center"/>
          </w:tcPr>
          <w:p w:rsidR="0042551F" w:rsidRPr="007D06BA" w:rsidRDefault="0042551F" w:rsidP="007D06BA">
            <w:pPr>
              <w:suppressAutoHyphens/>
              <w:autoSpaceDN w:val="0"/>
              <w:adjustRightInd w:val="0"/>
              <w:spacing w:line="141" w:lineRule="atLeast"/>
              <w:rPr>
                <w:rFonts w:ascii="Tele-GroteskNor" w:eastAsia="Times New Roman" w:cs="Times New Roman"/>
                <w:kern w:val="1"/>
                <w:lang w:val="es-ES"/>
              </w:rPr>
            </w:pPr>
            <w:r w:rsidRPr="007D06BA">
              <w:rPr>
                <w:rFonts w:ascii="Arial" w:hAnsi="Arial" w:cs="Times New Roman"/>
                <w:b/>
                <w:kern w:val="1"/>
                <w:sz w:val="18"/>
                <w:lang w:val="es-ES"/>
              </w:rPr>
              <w:t>Llicència urbanística</w:t>
            </w:r>
          </w:p>
        </w:tc>
      </w:tr>
      <w:tr w:rsidR="0042551F" w:rsidRPr="007D06BA">
        <w:trPr>
          <w:trHeight w:val="57"/>
        </w:trPr>
        <w:tc>
          <w:tcPr>
            <w:tcW w:w="1931" w:type="dxa"/>
            <w:tcBorders>
              <w:top w:val="single" w:sz="4" w:space="0" w:color="C0C0C0"/>
              <w:left w:val="single" w:sz="4" w:space="0" w:color="C0C0C0"/>
              <w:bottom w:val="single" w:sz="4" w:space="0" w:color="C0C0C0"/>
              <w:right w:val="nil"/>
            </w:tcBorders>
            <w:tcMar>
              <w:left w:w="70" w:type="dxa"/>
              <w:right w:w="70" w:type="dxa"/>
            </w:tcMar>
          </w:tcPr>
          <w:p w:rsidR="0042551F" w:rsidRPr="007D06BA" w:rsidRDefault="0042551F" w:rsidP="007D06BA">
            <w:pPr>
              <w:suppressAutoHyphens/>
              <w:autoSpaceDN w:val="0"/>
              <w:adjustRightInd w:val="0"/>
              <w:jc w:val="both"/>
              <w:rPr>
                <w:rFonts w:ascii="Tele-GroteskNor" w:eastAsia="Times New Roman" w:cs="Times New Roman"/>
                <w:kern w:val="1"/>
                <w:lang w:val="es-ES"/>
              </w:rPr>
            </w:pPr>
            <w:r w:rsidRPr="007D06BA">
              <w:rPr>
                <w:rFonts w:ascii="Arial" w:hAnsi="Arial" w:cs="Times New Roman"/>
                <w:kern w:val="1"/>
                <w:sz w:val="18"/>
                <w:lang w:val="ca-ES"/>
              </w:rPr>
              <w:t>Assumpte:</w:t>
            </w:r>
          </w:p>
        </w:tc>
        <w:tc>
          <w:tcPr>
            <w:tcW w:w="6827" w:type="dxa"/>
            <w:tcBorders>
              <w:top w:val="single" w:sz="4" w:space="0" w:color="C0C0C0"/>
              <w:left w:val="single" w:sz="4" w:space="0" w:color="C0C0C0"/>
              <w:bottom w:val="single" w:sz="4" w:space="0" w:color="C0C0C0"/>
              <w:right w:val="single" w:sz="4" w:space="0" w:color="C0C0C0"/>
            </w:tcBorders>
            <w:tcMar>
              <w:left w:w="70" w:type="dxa"/>
              <w:right w:w="70" w:type="dxa"/>
            </w:tcMar>
            <w:vAlign w:val="center"/>
          </w:tcPr>
          <w:p w:rsidR="0042551F" w:rsidRPr="007D06BA" w:rsidRDefault="0042551F" w:rsidP="007D06BA">
            <w:pPr>
              <w:suppressAutoHyphens/>
              <w:autoSpaceDN w:val="0"/>
              <w:adjustRightInd w:val="0"/>
              <w:spacing w:line="141" w:lineRule="atLeast"/>
              <w:rPr>
                <w:rFonts w:ascii="Tele-GroteskNor" w:eastAsia="Times New Roman" w:cs="Times New Roman"/>
                <w:kern w:val="1"/>
                <w:lang w:val="es-ES"/>
              </w:rPr>
            </w:pPr>
            <w:r w:rsidRPr="007D06BA">
              <w:rPr>
                <w:rFonts w:ascii="Arial" w:hAnsi="Arial" w:cs="Times New Roman"/>
                <w:b/>
                <w:kern w:val="1"/>
                <w:sz w:val="18"/>
                <w:lang w:val="es-ES"/>
              </w:rPr>
              <w:t>Reforma de línia aèria de mitja tensió i suport a la línia "Colom"al polígon 13 parcel·la 519 (subestació de Llucmajor)</w:t>
            </w:r>
          </w:p>
        </w:tc>
      </w:tr>
    </w:tbl>
    <w:p w:rsidR="0042551F" w:rsidRDefault="0042551F"/>
    <w:p w:rsidR="0042551F" w:rsidRDefault="0042551F"/>
    <w:p w:rsidR="0042551F" w:rsidRDefault="0042551F">
      <w:pPr>
        <w:rPr>
          <w:rFonts w:ascii="Arial" w:hAnsi="Arial"/>
          <w:sz w:val="22"/>
          <w:szCs w:val="22"/>
        </w:rPr>
      </w:pPr>
      <w:r>
        <w:rPr>
          <w:rFonts w:ascii="Arial" w:hAnsi="Arial"/>
          <w:sz w:val="22"/>
          <w:szCs w:val="22"/>
        </w:rPr>
        <w:tab/>
      </w:r>
      <w:r>
        <w:rPr>
          <w:rFonts w:ascii="Arial" w:hAnsi="Arial"/>
          <w:b/>
          <w:bCs/>
          <w:sz w:val="22"/>
          <w:szCs w:val="22"/>
          <w:lang w:val="ca-ES"/>
        </w:rPr>
        <w:t>Informació pública del projecte i de l’estudi d’impacte ambiental de la reforma de la línia Aèria de M.T 15kv «Colom» per a nou subministrament de M.T de 47772,82kw</w:t>
      </w:r>
    </w:p>
    <w:p w:rsidR="0042551F" w:rsidRDefault="0042551F">
      <w:pPr>
        <w:rPr>
          <w:rFonts w:ascii="Arial" w:hAnsi="Arial"/>
          <w:b/>
          <w:bCs/>
          <w:sz w:val="22"/>
          <w:szCs w:val="22"/>
          <w:lang w:val="ca-ES"/>
        </w:rPr>
      </w:pPr>
    </w:p>
    <w:p w:rsidR="0042551F" w:rsidRDefault="0042551F">
      <w:pPr>
        <w:jc w:val="both"/>
        <w:rPr>
          <w:rFonts w:ascii="Arial" w:hAnsi="Arial"/>
          <w:sz w:val="22"/>
          <w:szCs w:val="22"/>
        </w:rPr>
      </w:pPr>
      <w:r>
        <w:rPr>
          <w:rFonts w:ascii="Arial" w:hAnsi="Arial"/>
          <w:sz w:val="22"/>
          <w:szCs w:val="22"/>
          <w:lang w:val="ca-ES"/>
        </w:rPr>
        <w:t>Vist el projecte de reforma de la línia aèria de mitjana tensió 15 KV «COLOM» per a nou subministrament, pel polígon industrial «Sa Creu sector I» als termes Llucmajor-Porreres, amb l’objecte de definir el traçat, la forma constructiva i els materials per emprar en la instal·lació d’una línia aèria de mitjana tensió 12/20kV d’aïllament sec, a causa de l’electrificació del Polígon Industrial de «SA CREU» Sector I (visat núm. 20209115576 de 17 de desembre de 2020). L’autor i la direcció del projecte és l’enginyer tècnic industrial elèctric col·legiat núm. 24.098, el promotor és Endesa Distribución Eléctrica SLO amb CIF B82846817.</w:t>
      </w:r>
    </w:p>
    <w:p w:rsidR="0042551F" w:rsidRDefault="0042551F">
      <w:pPr>
        <w:jc w:val="both"/>
        <w:rPr>
          <w:rFonts w:ascii="Arial" w:hAnsi="Arial"/>
          <w:sz w:val="22"/>
          <w:szCs w:val="22"/>
          <w:lang w:val="ca-ES"/>
        </w:rPr>
      </w:pPr>
    </w:p>
    <w:p w:rsidR="0042551F" w:rsidRDefault="0042551F">
      <w:pPr>
        <w:jc w:val="both"/>
        <w:rPr>
          <w:rFonts w:ascii="Arial" w:hAnsi="Arial"/>
          <w:sz w:val="22"/>
          <w:szCs w:val="22"/>
          <w:lang w:val="ca-ES"/>
        </w:rPr>
      </w:pPr>
      <w:r>
        <w:rPr>
          <w:rFonts w:ascii="Arial" w:hAnsi="Arial"/>
          <w:sz w:val="22"/>
          <w:szCs w:val="22"/>
          <w:lang w:val="ca-ES"/>
        </w:rPr>
        <w:tab/>
        <w:t>També consta l’Estudi d’Impacte ambiental del Projecte de reforma de la línia aèria de mitjana tensió 15KV entre S.E. Llucmajor i el suport A086228 existent de la línia «COLOM» amb l’objectiu de donar compliment al procediment d’avaluació ambiental, per trobar-se l’actuació en el grup 3.7 de l’annex I «Projectes sotmesos a avaluació d’impacte ambiental ordinària» del Decret legislatiu 1/2020, de 28 d’agost, pel qual s’aprova el text refós de la Llei d’avaluació ambiental de les Illes Balears.</w:t>
      </w:r>
    </w:p>
    <w:p w:rsidR="0042551F" w:rsidRDefault="0042551F">
      <w:pPr>
        <w:jc w:val="both"/>
        <w:rPr>
          <w:rFonts w:ascii="Arial" w:hAnsi="Arial"/>
          <w:sz w:val="22"/>
          <w:szCs w:val="22"/>
          <w:lang w:val="ca-ES"/>
        </w:rPr>
      </w:pPr>
    </w:p>
    <w:p w:rsidR="0042551F" w:rsidRDefault="0042551F">
      <w:pPr>
        <w:jc w:val="both"/>
      </w:pPr>
      <w:r>
        <w:rPr>
          <w:rFonts w:ascii="Arial" w:hAnsi="Arial"/>
          <w:sz w:val="22"/>
          <w:szCs w:val="22"/>
          <w:lang w:val="ca-ES"/>
        </w:rPr>
        <w:tab/>
        <w:t xml:space="preserve">Pel que a la prèvia declaració d’interès general per part del CIM, aquest organisme mitjançant acord de data 30 d’abril de 2021, va declarar la no necessitat d’interès general per a l’autorització del projecte, ja que en el tram que discorre per Porreres la reforma de la línia elèctrica se situa sobre un traçat existent i no suposa cap nova implantació, i pel que fa al tram subterrani de nova implantació que se situa dins la subestació de Llucmajor que està inclosa dins el Pla Director Sectorial Energètic i, per tant, és un ús admès. </w:t>
      </w:r>
    </w:p>
    <w:p w:rsidR="0042551F" w:rsidRDefault="0042551F">
      <w:pPr>
        <w:jc w:val="both"/>
        <w:rPr>
          <w:rFonts w:ascii="Arial" w:hAnsi="Arial"/>
          <w:sz w:val="22"/>
          <w:szCs w:val="22"/>
          <w:lang w:val="ca-ES"/>
        </w:rPr>
      </w:pPr>
    </w:p>
    <w:p w:rsidR="0042551F" w:rsidRDefault="0042551F">
      <w:pPr>
        <w:jc w:val="both"/>
      </w:pPr>
      <w:r>
        <w:rPr>
          <w:rFonts w:ascii="Arial" w:hAnsi="Arial"/>
          <w:sz w:val="22"/>
          <w:szCs w:val="22"/>
          <w:lang w:val="ca-ES"/>
        </w:rPr>
        <w:tab/>
        <w:t xml:space="preserve">Per tot això, atès que correspon al Regidor Delegat d’Urbanisme de l’Ajuntament atorgar la preceptiva llicència d’obra amb subjecció a l’avaluació d’impacte ambiental ordinària per part de CMAIB, d’acord amb l’article 36 de la Llei 21/2013, de 7 de desembre, d’avaluació ambiental, l’Ajuntament de Llucmajor sotmet el projecte i l’estudi d’impacte ambiental a informació pública durant el termini de trenta dies hàbils, mitjançant anunci en el Butlletí Oficial, al «Taulell d’anuncis i edictes electrònics (llucmajor.org)»,així com als Diaris de major difusió de l’illa, perquè els interessats puguin accedir a l’expedient, al·legar i presentar els documents i les justificacions que considerin pertinents.  </w:t>
      </w:r>
    </w:p>
    <w:p w:rsidR="0042551F" w:rsidRDefault="0042551F">
      <w:pPr>
        <w:jc w:val="both"/>
        <w:rPr>
          <w:rFonts w:ascii="Arial" w:hAnsi="Arial"/>
          <w:sz w:val="22"/>
          <w:szCs w:val="22"/>
          <w:lang w:val="ca-ES"/>
        </w:rPr>
      </w:pPr>
    </w:p>
    <w:p w:rsidR="0042551F" w:rsidRDefault="0042551F">
      <w:pPr>
        <w:jc w:val="both"/>
        <w:rPr>
          <w:rFonts w:ascii="Arial" w:hAnsi="Arial"/>
          <w:sz w:val="22"/>
          <w:szCs w:val="22"/>
          <w:lang w:val="ca-ES"/>
        </w:rPr>
      </w:pPr>
    </w:p>
    <w:p w:rsidR="0042551F" w:rsidRDefault="0042551F" w:rsidP="00223408">
      <w:pPr>
        <w:jc w:val="center"/>
        <w:rPr>
          <w:rFonts w:ascii="Arial" w:hAnsi="Arial" w:cs="Arial"/>
          <w:sz w:val="14"/>
          <w:szCs w:val="14"/>
        </w:rPr>
      </w:pPr>
      <w:r>
        <w:rPr>
          <w:rFonts w:ascii="Arial" w:hAnsi="Arial" w:cs="Arial"/>
          <w:sz w:val="14"/>
          <w:szCs w:val="14"/>
        </w:rPr>
        <w:t>REGIDOR URBANISME I MEDI AMBIENT</w:t>
      </w:r>
    </w:p>
    <w:p w:rsidR="0042551F" w:rsidRDefault="0042551F" w:rsidP="00223408">
      <w:pPr>
        <w:rPr>
          <w:rFonts w:ascii="Arial" w:hAnsi="Arial" w:cs="Arial"/>
          <w:sz w:val="14"/>
          <w:szCs w:val="14"/>
        </w:rPr>
      </w:pPr>
      <w:r>
        <w:rPr>
          <w:rFonts w:ascii="Arial" w:hAnsi="Arial" w:cs="Arial"/>
          <w:sz w:val="14"/>
          <w:szCs w:val="14"/>
        </w:rPr>
        <w:t xml:space="preserve">                                                                                          Signat electrònicament per:</w:t>
      </w:r>
    </w:p>
    <w:p w:rsidR="0042551F" w:rsidRDefault="0042551F" w:rsidP="00223408">
      <w:pPr>
        <w:rPr>
          <w:rFonts w:ascii="Arial" w:hAnsi="Arial" w:cs="Arial"/>
          <w:sz w:val="14"/>
          <w:szCs w:val="14"/>
        </w:rPr>
      </w:pPr>
      <w:r>
        <w:rPr>
          <w:rFonts w:ascii="Arial" w:hAnsi="Arial" w:cs="Arial"/>
          <w:sz w:val="14"/>
          <w:szCs w:val="14"/>
        </w:rPr>
        <w:t xml:space="preserve">                                                                                          Guillermo Roig Mascaró</w:t>
      </w:r>
    </w:p>
    <w:p w:rsidR="0042551F" w:rsidRDefault="0042551F" w:rsidP="00223408">
      <w:pPr>
        <w:rPr>
          <w:rFonts w:ascii="Arial" w:hAnsi="Arial" w:cs="Arial"/>
          <w:sz w:val="14"/>
          <w:szCs w:val="14"/>
        </w:rPr>
      </w:pPr>
      <w:r>
        <w:rPr>
          <w:rFonts w:ascii="Arial" w:hAnsi="Arial" w:cs="Arial"/>
          <w:sz w:val="14"/>
          <w:szCs w:val="14"/>
        </w:rPr>
        <w:t xml:space="preserve">                                                                                          24/11/2021  15:05:00</w:t>
      </w:r>
    </w:p>
    <w:p w:rsidR="0042551F" w:rsidRDefault="0042551F">
      <w:pPr>
        <w:jc w:val="both"/>
        <w:rPr>
          <w:rFonts w:ascii="Arial" w:hAnsi="Arial"/>
          <w:sz w:val="22"/>
          <w:szCs w:val="22"/>
          <w:lang w:val="ca-ES"/>
        </w:rPr>
      </w:pPr>
    </w:p>
    <w:sectPr w:rsidR="0042551F" w:rsidSect="000D3B95">
      <w:pgSz w:w="11906" w:h="16838"/>
      <w:pgMar w:top="1134" w:right="1134" w:bottom="1134" w:left="1134" w:header="0" w:footer="0" w:gutter="0"/>
      <w:cols w:space="720"/>
      <w:formProt w:val="0"/>
      <w:docGrid w:linePitch="312" w:charSpace="-6145"/>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SimSun">
    <w:altName w:val="??¨¬?"/>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1"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ele-GroteskNo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3B95"/>
    <w:rsid w:val="0001771A"/>
    <w:rsid w:val="000D3B95"/>
    <w:rsid w:val="00223408"/>
    <w:rsid w:val="002724EF"/>
    <w:rsid w:val="002D26F8"/>
    <w:rsid w:val="0042551F"/>
    <w:rsid w:val="00467044"/>
    <w:rsid w:val="00632B38"/>
    <w:rsid w:val="007D06BA"/>
    <w:rsid w:val="008D0B9B"/>
    <w:rsid w:val="00AC0AE8"/>
    <w:rsid w:val="00C136F8"/>
    <w:rsid w:val="00CE12B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B95"/>
    <w:rPr>
      <w:sz w:val="24"/>
      <w:szCs w:val="24"/>
      <w:lang w:val="en-US"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lacedeInternet">
    <w:name w:val="Enlace de Internet"/>
    <w:uiPriority w:val="99"/>
    <w:rsid w:val="000D3B95"/>
    <w:rPr>
      <w:color w:val="000080"/>
      <w:u w:val="single"/>
    </w:rPr>
  </w:style>
  <w:style w:type="paragraph" w:styleId="Header">
    <w:name w:val="header"/>
    <w:basedOn w:val="Normal"/>
    <w:next w:val="Cuerpodetexto"/>
    <w:link w:val="HeaderChar"/>
    <w:uiPriority w:val="99"/>
    <w:rsid w:val="000D3B95"/>
    <w:pPr>
      <w:keepNext/>
      <w:spacing w:before="240" w:after="120"/>
    </w:pPr>
    <w:rPr>
      <w:rFonts w:ascii="Liberation Sans" w:eastAsia="Microsoft YaHei" w:hAnsi="Liberation Sans"/>
      <w:sz w:val="28"/>
      <w:szCs w:val="28"/>
    </w:rPr>
  </w:style>
  <w:style w:type="character" w:customStyle="1" w:styleId="HeaderChar">
    <w:name w:val="Header Char"/>
    <w:basedOn w:val="DefaultParagraphFont"/>
    <w:link w:val="Header"/>
    <w:uiPriority w:val="99"/>
    <w:semiHidden/>
    <w:locked/>
    <w:rsid w:val="00467044"/>
    <w:rPr>
      <w:rFonts w:cs="Times New Roman"/>
      <w:sz w:val="21"/>
      <w:szCs w:val="21"/>
      <w:lang w:val="en-US" w:eastAsia="zh-CN" w:bidi="hi-IN"/>
    </w:rPr>
  </w:style>
  <w:style w:type="paragraph" w:customStyle="1" w:styleId="Cuerpodetexto">
    <w:name w:val="Cuerpo de texto"/>
    <w:basedOn w:val="Normal"/>
    <w:uiPriority w:val="99"/>
    <w:rsid w:val="000D3B95"/>
    <w:pPr>
      <w:spacing w:after="140" w:line="288" w:lineRule="auto"/>
    </w:pPr>
  </w:style>
  <w:style w:type="paragraph" w:styleId="List">
    <w:name w:val="List"/>
    <w:basedOn w:val="Cuerpodetexto"/>
    <w:uiPriority w:val="99"/>
    <w:rsid w:val="000D3B95"/>
  </w:style>
  <w:style w:type="paragraph" w:customStyle="1" w:styleId="Leyenda">
    <w:name w:val="Leyenda"/>
    <w:basedOn w:val="Normal"/>
    <w:uiPriority w:val="99"/>
    <w:rsid w:val="000D3B95"/>
    <w:pPr>
      <w:suppressLineNumbers/>
      <w:spacing w:before="120" w:after="120"/>
    </w:pPr>
    <w:rPr>
      <w:i/>
      <w:iCs/>
    </w:rPr>
  </w:style>
  <w:style w:type="paragraph" w:customStyle="1" w:styleId="ndice">
    <w:name w:val="Índice"/>
    <w:basedOn w:val="Normal"/>
    <w:uiPriority w:val="99"/>
    <w:rsid w:val="000D3B95"/>
    <w:pPr>
      <w:suppressLineNumbers/>
    </w:pPr>
  </w:style>
  <w:style w:type="paragraph" w:customStyle="1" w:styleId="WW-Cabecera">
    <w:name w:val="WW-Cabecera"/>
    <w:basedOn w:val="Normal"/>
    <w:uiPriority w:val="99"/>
    <w:rsid w:val="007D06BA"/>
    <w:pPr>
      <w:suppressAutoHyphens/>
      <w:autoSpaceDN w:val="0"/>
      <w:adjustRightInd w:val="0"/>
      <w:jc w:val="both"/>
    </w:pPr>
    <w:rPr>
      <w:rFonts w:ascii="Tele-GroteskNor" w:eastAsia="Times New Roman" w:cs="Tele-GroteskNor"/>
      <w:kern w:val="1"/>
      <w:lang w:val="es-ES" w:eastAsia="es-ES" w:bidi="ar-SA"/>
    </w:rPr>
  </w:style>
  <w:style w:type="paragraph" w:customStyle="1" w:styleId="Normal0">
    <w:name w:val="Normal_0"/>
    <w:uiPriority w:val="99"/>
    <w:rsid w:val="007D06BA"/>
    <w:pPr>
      <w:suppressAutoHyphens/>
      <w:autoSpaceDN w:val="0"/>
      <w:adjustRightInd w:val="0"/>
      <w:spacing w:after="200"/>
      <w:jc w:val="both"/>
    </w:pPr>
    <w:rPr>
      <w:rFonts w:ascii="Tele-GroteskNor" w:eastAsia="Times New Roman" w:cs="Tele-GroteskNor"/>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79220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Pages>
  <Words>481</Words>
  <Characters>2647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mroser</cp:lastModifiedBy>
  <cp:revision>20</cp:revision>
  <dcterms:created xsi:type="dcterms:W3CDTF">2017-10-20T23:40:00Z</dcterms:created>
  <dcterms:modified xsi:type="dcterms:W3CDTF">2021-11-29T11:11:00Z</dcterms:modified>
</cp:coreProperties>
</file>